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EF" w:rsidRDefault="00B62DE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62DEF" w:rsidRDefault="00B62DEF">
      <w:pPr>
        <w:pStyle w:val="ConsPlusNormal"/>
        <w:jc w:val="both"/>
        <w:outlineLvl w:val="0"/>
      </w:pPr>
    </w:p>
    <w:p w:rsidR="00B62DEF" w:rsidRDefault="00B62DEF">
      <w:pPr>
        <w:pStyle w:val="ConsPlusTitle"/>
        <w:jc w:val="center"/>
      </w:pPr>
      <w:r>
        <w:t>ФЕДЕРАЛЬНАЯ АНТИМОНОПОЛЬНАЯ СЛУЖБА</w:t>
      </w:r>
    </w:p>
    <w:p w:rsidR="00B62DEF" w:rsidRDefault="00B62DEF">
      <w:pPr>
        <w:pStyle w:val="ConsPlusTitle"/>
        <w:jc w:val="center"/>
      </w:pPr>
    </w:p>
    <w:p w:rsidR="00B62DEF" w:rsidRDefault="00B62DEF">
      <w:pPr>
        <w:pStyle w:val="ConsPlusTitle"/>
        <w:jc w:val="center"/>
      </w:pPr>
      <w:r>
        <w:t>ПИСЬМО</w:t>
      </w:r>
    </w:p>
    <w:p w:rsidR="00B62DEF" w:rsidRDefault="00B62DEF">
      <w:pPr>
        <w:pStyle w:val="ConsPlusTitle"/>
        <w:jc w:val="center"/>
      </w:pPr>
      <w:r>
        <w:t>от 9 июля 2024 г. N ПИ/60430/24</w:t>
      </w:r>
    </w:p>
    <w:p w:rsidR="00B62DEF" w:rsidRDefault="00B62DEF">
      <w:pPr>
        <w:pStyle w:val="ConsPlusTitle"/>
        <w:jc w:val="center"/>
      </w:pPr>
    </w:p>
    <w:p w:rsidR="00B62DEF" w:rsidRDefault="00B62DEF">
      <w:pPr>
        <w:pStyle w:val="ConsPlusTitle"/>
        <w:jc w:val="center"/>
      </w:pPr>
      <w:r>
        <w:t>О РАССМОТРЕНИИ ОБРАЩЕНИЯ</w:t>
      </w:r>
    </w:p>
    <w:p w:rsidR="00B62DEF" w:rsidRDefault="00B62DEF">
      <w:pPr>
        <w:pStyle w:val="ConsPlusNormal"/>
        <w:jc w:val="center"/>
      </w:pPr>
    </w:p>
    <w:p w:rsidR="00B62DEF" w:rsidRDefault="00B62DEF">
      <w:pPr>
        <w:pStyle w:val="ConsPlusNormal"/>
        <w:ind w:firstLine="540"/>
        <w:jc w:val="both"/>
      </w:pPr>
      <w:hyperlink r:id="rId6">
        <w:proofErr w:type="gramStart"/>
        <w:r>
          <w:rPr>
            <w:color w:val="0000FF"/>
          </w:rPr>
          <w:t>Частью 1 статьи 43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предусмотрен исчерпывающий перечень сведений, которые должна содержать заявка на участие в закупке для участия в конкурентном способе определения поставщика (подрядчика, исполнителя).</w:t>
      </w:r>
      <w:proofErr w:type="gramEnd"/>
    </w:p>
    <w:p w:rsidR="00B62DEF" w:rsidRDefault="00B62DEF">
      <w:pPr>
        <w:pStyle w:val="ConsPlusNormal"/>
        <w:spacing w:before="220"/>
        <w:ind w:firstLine="540"/>
        <w:jc w:val="both"/>
      </w:pPr>
      <w:r>
        <w:t xml:space="preserve">При этом в соответствии с </w:t>
      </w:r>
      <w:hyperlink r:id="rId7">
        <w:r>
          <w:rPr>
            <w:color w:val="0000FF"/>
          </w:rPr>
          <w:t>частью 3 статьи 43</w:t>
        </w:r>
      </w:hyperlink>
      <w:r>
        <w:t xml:space="preserve"> Закона о контрактной системе не допускается требовать от участника закупки представления иных информации и документов, за исключением предусмотренных </w:t>
      </w:r>
      <w:hyperlink r:id="rId8">
        <w:r>
          <w:rPr>
            <w:color w:val="0000FF"/>
          </w:rPr>
          <w:t>частями 1</w:t>
        </w:r>
      </w:hyperlink>
      <w:r>
        <w:t xml:space="preserve"> и </w:t>
      </w:r>
      <w:hyperlink r:id="rId9">
        <w:r>
          <w:rPr>
            <w:color w:val="0000FF"/>
          </w:rPr>
          <w:t>2 статьи 43</w:t>
        </w:r>
      </w:hyperlink>
      <w:r>
        <w:t xml:space="preserve"> Закона о контрактной системе.</w:t>
      </w:r>
    </w:p>
    <w:p w:rsidR="00B62DEF" w:rsidRDefault="00B62DEF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установление заказчиком в документации о закупке требований о предоставлении в составе заявки документов, подтверждающих право собственности на жилое помещение, а также документов, необходимых для регистрации права собственности на недвижимость, противоречит положениям </w:t>
      </w:r>
      <w:hyperlink r:id="rId10">
        <w:r>
          <w:rPr>
            <w:color w:val="0000FF"/>
          </w:rPr>
          <w:t>Закона</w:t>
        </w:r>
      </w:hyperlink>
      <w:r>
        <w:t xml:space="preserve"> о контрактной системе.</w:t>
      </w:r>
      <w:proofErr w:type="gramEnd"/>
    </w:p>
    <w:p w:rsidR="00B62DEF" w:rsidRDefault="00B62DEF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1">
        <w:r>
          <w:rPr>
            <w:color w:val="0000FF"/>
          </w:rPr>
          <w:t>частью 1 статьи 28</w:t>
        </w:r>
      </w:hyperlink>
      <w:r>
        <w:t xml:space="preserve"> Федерального закона от 13.07.2015 N 218-ФЗ "О государственной регистрации недвижимости" (далее - Закон о государственной регистрации) государственный кадастровый учет, государственная регистрация сделки, возникновения, изменения или перехода вещных прав, возникновения ограничения права, обременения объекта недвижимости, в том числе ипотеки, изменения ограничения права, обременения объекта недвижимости на основании договора или иной сделки, включая изменение или дополнение</w:t>
      </w:r>
      <w:proofErr w:type="gramEnd"/>
      <w:r>
        <w:t xml:space="preserve"> регистрационной записи об ипотеке на основании договора или иной сделки, удостоверяются выпиской из Единого государственного реестра недвижимости (далее - ЕГРН).</w:t>
      </w:r>
    </w:p>
    <w:p w:rsidR="00B62DEF" w:rsidRDefault="00B62DEF">
      <w:pPr>
        <w:pStyle w:val="ConsPlusNormal"/>
        <w:spacing w:before="220"/>
        <w:ind w:firstLine="540"/>
        <w:jc w:val="both"/>
      </w:pPr>
      <w:r>
        <w:t xml:space="preserve">Согласно положениям </w:t>
      </w:r>
      <w:hyperlink r:id="rId12">
        <w:r>
          <w:rPr>
            <w:color w:val="0000FF"/>
          </w:rPr>
          <w:t>Закона</w:t>
        </w:r>
      </w:hyperlink>
      <w:r>
        <w:t xml:space="preserve"> о государственной регистрации документом, который удостоверяет право собственности на недвижимое имущество при его передаче другому лицу, является выписка из ЕГРН.</w:t>
      </w:r>
    </w:p>
    <w:p w:rsidR="00B62DEF" w:rsidRDefault="00B62DEF">
      <w:pPr>
        <w:pStyle w:val="ConsPlusNormal"/>
        <w:spacing w:before="220"/>
        <w:ind w:firstLine="540"/>
        <w:jc w:val="both"/>
      </w:pPr>
      <w:proofErr w:type="gramStart"/>
      <w:r>
        <w:t xml:space="preserve">В целях регистрации договора купли-продажи недвижимости или передачи права собственности на недвижимость, к заявлению прилагаются документы, установленные </w:t>
      </w:r>
      <w:hyperlink r:id="rId13">
        <w:r>
          <w:rPr>
            <w:color w:val="0000FF"/>
          </w:rPr>
          <w:t>статьей 18</w:t>
        </w:r>
      </w:hyperlink>
      <w:r>
        <w:t xml:space="preserve"> Закона о государственной регистрации.</w:t>
      </w:r>
      <w:proofErr w:type="gramEnd"/>
    </w:p>
    <w:p w:rsidR="00B62DEF" w:rsidRDefault="00B62DEF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Статьей 21</w:t>
        </w:r>
      </w:hyperlink>
      <w:r>
        <w:t xml:space="preserve"> Закона о государственной регистрации установлены требования к документам, предоставляемым для осуществления государственного кадастрового учета и (или) государственной регистрации прав.</w:t>
      </w:r>
    </w:p>
    <w:p w:rsidR="00B62DEF" w:rsidRDefault="00B62DEF">
      <w:pPr>
        <w:pStyle w:val="ConsPlusNormal"/>
        <w:spacing w:before="220"/>
        <w:ind w:firstLine="540"/>
        <w:jc w:val="both"/>
      </w:pPr>
      <w:r>
        <w:t>Решение о возможности проведения государственной регистрации либо об отказе в государственной регистрации принимает государственный регистратор по результатам проведения правовой экспертизы документов, представленных на государственную регистрацию.</w:t>
      </w:r>
    </w:p>
    <w:p w:rsidR="00B62DEF" w:rsidRDefault="00B62DEF">
      <w:pPr>
        <w:pStyle w:val="ConsPlusNormal"/>
        <w:spacing w:before="220"/>
        <w:ind w:firstLine="540"/>
        <w:jc w:val="both"/>
      </w:pPr>
      <w:r>
        <w:t>Вместе с тем, из системного толкования приведенных норм не следует, что участником закупки должен быть собственник недвижимого имущества.</w:t>
      </w:r>
    </w:p>
    <w:p w:rsidR="00B62DEF" w:rsidRDefault="00B62DEF">
      <w:pPr>
        <w:pStyle w:val="ConsPlusNormal"/>
        <w:spacing w:before="220"/>
        <w:ind w:firstLine="540"/>
        <w:jc w:val="both"/>
      </w:pPr>
      <w:proofErr w:type="gramStart"/>
      <w:r>
        <w:t xml:space="preserve">При этом согласно </w:t>
      </w:r>
      <w:hyperlink r:id="rId15">
        <w:r>
          <w:rPr>
            <w:color w:val="0000FF"/>
          </w:rPr>
          <w:t>абзацу 3 части 1 статьи 2</w:t>
        </w:r>
      </w:hyperlink>
      <w:r>
        <w:t xml:space="preserve"> Гражданского кодекса Российской Федерации (далее - ГК РФ)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</w:t>
      </w:r>
      <w:r>
        <w:lastRenderedPageBreak/>
        <w:t>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  <w:proofErr w:type="gramEnd"/>
    </w:p>
    <w:p w:rsidR="00B62DEF" w:rsidRDefault="00B62DEF">
      <w:pPr>
        <w:pStyle w:val="ConsPlusNormal"/>
        <w:spacing w:before="220"/>
        <w:ind w:firstLine="540"/>
        <w:jc w:val="both"/>
      </w:pPr>
      <w:r>
        <w:t xml:space="preserve">Исходя из принципа ответственности и результативности, подавая заявку на участие в закупке, участники конклюдентно соглашаются со всеми условиями извещения в силу </w:t>
      </w:r>
      <w:hyperlink r:id="rId16">
        <w:r>
          <w:rPr>
            <w:color w:val="0000FF"/>
          </w:rPr>
          <w:t>статьи 8</w:t>
        </w:r>
      </w:hyperlink>
      <w:r>
        <w:t xml:space="preserve"> ГК РФ.</w:t>
      </w:r>
    </w:p>
    <w:p w:rsidR="00B62DEF" w:rsidRDefault="00B62DEF">
      <w:pPr>
        <w:pStyle w:val="ConsPlusNormal"/>
        <w:spacing w:before="220"/>
        <w:ind w:firstLine="540"/>
        <w:jc w:val="both"/>
      </w:pPr>
      <w:proofErr w:type="gramStart"/>
      <w:r>
        <w:t>Подавая заявку, тот или иной участник закупки также осознает, что он вступает не только в гражданско-правовые, но и в публично-правовые отношения, принимая во внимание наличие в рассматриваемых правоотношениях публично-правовых элементов (наличие повышенного государственного контроля ввиду особой правоспособности заказчика, формализованной регламентации поведения сторон в рамках проведения торгов, а также наличия негативных для сторон последствий при уклонении от установленного правопорядка).</w:t>
      </w:r>
      <w:proofErr w:type="gramEnd"/>
    </w:p>
    <w:p w:rsidR="00B62DEF" w:rsidRDefault="00B62DEF">
      <w:pPr>
        <w:pStyle w:val="ConsPlusNormal"/>
        <w:spacing w:before="220"/>
        <w:ind w:firstLine="540"/>
        <w:jc w:val="both"/>
      </w:pPr>
      <w:r>
        <w:t>Соответственно, участник принимает на себя все риски, связанные с таким участием, поскольку они являются неизменно сопутствующими предпринимательской деятельности.</w:t>
      </w:r>
    </w:p>
    <w:p w:rsidR="00B62DEF" w:rsidRDefault="00B62DEF">
      <w:pPr>
        <w:pStyle w:val="ConsPlusNormal"/>
        <w:spacing w:before="220"/>
        <w:ind w:firstLine="540"/>
        <w:jc w:val="both"/>
      </w:pPr>
      <w:r>
        <w:t xml:space="preserve">Также ФАС России сообщает, что позиция по вопросу формирования лотов при осуществлении закупок на приобретение жилых помещений (квартир) изложена в </w:t>
      </w:r>
      <w:hyperlink r:id="rId17">
        <w:r>
          <w:rPr>
            <w:color w:val="0000FF"/>
          </w:rPr>
          <w:t>письме</w:t>
        </w:r>
      </w:hyperlink>
      <w:r>
        <w:t xml:space="preserve"> ФАС России от 28.11.2019 N АК/104308/19 и является актуальной.</w:t>
      </w:r>
    </w:p>
    <w:p w:rsidR="00B62DEF" w:rsidRDefault="00B62DEF">
      <w:pPr>
        <w:pStyle w:val="ConsPlusNormal"/>
        <w:spacing w:before="220"/>
        <w:ind w:firstLine="540"/>
        <w:jc w:val="both"/>
      </w:pPr>
      <w:proofErr w:type="gramStart"/>
      <w:r>
        <w:t xml:space="preserve">Вместе с тем при проведении закупок на приобретение жилых помещений (квартир), обусловленных необходимостью переселения граждан из аварийного жилищного фонда из многоквартирного дома, объединение в один лот нескольких помещений не противоречит требованиям </w:t>
      </w:r>
      <w:hyperlink r:id="rId18">
        <w:r>
          <w:rPr>
            <w:color w:val="0000FF"/>
          </w:rPr>
          <w:t>Закона</w:t>
        </w:r>
      </w:hyperlink>
      <w:r>
        <w:t xml:space="preserve"> о контрактной системе, поскольку направлено на достижение наилучшего результата в кратчайшие сроки с использованием определенного бюджетом объема средств.</w:t>
      </w:r>
      <w:proofErr w:type="gramEnd"/>
    </w:p>
    <w:p w:rsidR="00B62DEF" w:rsidRDefault="00B62DEF">
      <w:pPr>
        <w:pStyle w:val="ConsPlusNormal"/>
        <w:spacing w:before="220"/>
        <w:ind w:firstLine="540"/>
        <w:jc w:val="both"/>
      </w:pPr>
      <w:proofErr w:type="gramStart"/>
      <w:r>
        <w:t>Таким образом, в отсутствие таких и подобных исключительных условий укрупнение лота путем объединения нескольких квартир в объект одной закупки приводит к увеличению начальной (максимальной) цены контракта и, соответственно, влечет увеличение размера обеспечения заявки на участие в торгах и размера обеспечения контракта, и, как следствие, содержит признаки ограничения конкуренции.</w:t>
      </w:r>
      <w:proofErr w:type="gramEnd"/>
    </w:p>
    <w:p w:rsidR="00B62DEF" w:rsidRDefault="00B62DEF">
      <w:pPr>
        <w:pStyle w:val="ConsPlusNormal"/>
        <w:ind w:firstLine="540"/>
        <w:jc w:val="both"/>
      </w:pPr>
    </w:p>
    <w:p w:rsidR="00B62DEF" w:rsidRDefault="00B62DEF">
      <w:pPr>
        <w:pStyle w:val="ConsPlusNormal"/>
        <w:jc w:val="right"/>
      </w:pPr>
      <w:r>
        <w:t>П.В.ИВАНОВ</w:t>
      </w:r>
    </w:p>
    <w:p w:rsidR="00B62DEF" w:rsidRDefault="00B62DEF">
      <w:pPr>
        <w:pStyle w:val="ConsPlusNormal"/>
        <w:jc w:val="both"/>
      </w:pPr>
    </w:p>
    <w:p w:rsidR="00B62DEF" w:rsidRDefault="00B62DEF">
      <w:pPr>
        <w:pStyle w:val="ConsPlusNormal"/>
        <w:jc w:val="both"/>
      </w:pPr>
    </w:p>
    <w:p w:rsidR="00B62DEF" w:rsidRDefault="00B62DE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20DE" w:rsidRDefault="000520DE">
      <w:bookmarkStart w:id="0" w:name="_GoBack"/>
      <w:bookmarkEnd w:id="0"/>
    </w:p>
    <w:sectPr w:rsidR="000520DE" w:rsidSect="00990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EF"/>
    <w:rsid w:val="000520DE"/>
    <w:rsid w:val="00B6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D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62D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62D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D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62D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62D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361&amp;dst=2324" TargetMode="External"/><Relationship Id="rId13" Type="http://schemas.openxmlformats.org/officeDocument/2006/relationships/hyperlink" Target="https://login.consultant.ru/link/?req=doc&amp;base=LAW&amp;n=500103&amp;dst=100270" TargetMode="External"/><Relationship Id="rId18" Type="http://schemas.openxmlformats.org/officeDocument/2006/relationships/hyperlink" Target="https://login.consultant.ru/link/?req=doc&amp;base=LAW&amp;n=4833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361&amp;dst=2354" TargetMode="External"/><Relationship Id="rId12" Type="http://schemas.openxmlformats.org/officeDocument/2006/relationships/hyperlink" Target="https://login.consultant.ru/link/?req=doc&amp;base=LAW&amp;n=500103&amp;dst=100441" TargetMode="External"/><Relationship Id="rId17" Type="http://schemas.openxmlformats.org/officeDocument/2006/relationships/hyperlink" Target="https://login.consultant.ru/link/?req=doc&amp;base=LAW&amp;n=4098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2692&amp;dst=10004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361&amp;dst=2324" TargetMode="External"/><Relationship Id="rId11" Type="http://schemas.openxmlformats.org/officeDocument/2006/relationships/hyperlink" Target="https://login.consultant.ru/link/?req=doc&amp;base=LAW&amp;n=500103&amp;dst=89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2692&amp;dst=10951" TargetMode="External"/><Relationship Id="rId10" Type="http://schemas.openxmlformats.org/officeDocument/2006/relationships/hyperlink" Target="https://login.consultant.ru/link/?req=doc&amp;base=LAW&amp;n=48336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361&amp;dst=2351" TargetMode="External"/><Relationship Id="rId14" Type="http://schemas.openxmlformats.org/officeDocument/2006/relationships/hyperlink" Target="https://login.consultant.ru/link/?req=doc&amp;base=LAW&amp;n=500103&amp;dst=1003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2025-06-03T08:17:00Z</dcterms:created>
  <dcterms:modified xsi:type="dcterms:W3CDTF">2025-06-03T08:17:00Z</dcterms:modified>
</cp:coreProperties>
</file>